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02" w:rsidRDefault="0063449C">
      <w:pPr>
        <w:rPr>
          <w:rFonts w:ascii="Times New Roman" w:hAnsi="Times New Roman" w:cs="Times New Roman"/>
          <w:b/>
          <w:bCs/>
        </w:rPr>
      </w:pPr>
      <w:r w:rsidRPr="0063449C">
        <w:rPr>
          <w:rFonts w:ascii="Times New Roman" w:hAnsi="Times New Roman" w:cs="Times New Roman"/>
          <w:b/>
          <w:bCs/>
        </w:rPr>
        <w:t>3. Criteria for student sel</w:t>
      </w:r>
      <w:bookmarkStart w:id="0" w:name="_GoBack"/>
      <w:bookmarkEnd w:id="0"/>
      <w:r w:rsidRPr="0063449C">
        <w:rPr>
          <w:rFonts w:ascii="Times New Roman" w:hAnsi="Times New Roman" w:cs="Times New Roman"/>
          <w:b/>
          <w:bCs/>
        </w:rPr>
        <w:t>ection</w:t>
      </w:r>
      <w:r>
        <w:rPr>
          <w:rFonts w:ascii="Times New Roman" w:hAnsi="Times New Roman" w:cs="Times New Roman"/>
          <w:b/>
          <w:bCs/>
        </w:rPr>
        <w:t xml:space="preserve"> (</w:t>
      </w:r>
      <w:proofErr w:type="spellStart"/>
      <w:r>
        <w:rPr>
          <w:rFonts w:ascii="Times New Roman" w:hAnsi="Times New Roman" w:cs="Times New Roman"/>
          <w:b/>
          <w:bCs/>
        </w:rPr>
        <w:t>Chungnam</w:t>
      </w:r>
      <w:proofErr w:type="spellEnd"/>
      <w:r>
        <w:rPr>
          <w:rFonts w:ascii="Times New Roman" w:hAnsi="Times New Roman" w:cs="Times New Roman"/>
          <w:b/>
          <w:bCs/>
        </w:rPr>
        <w:t xml:space="preserve"> National University)</w:t>
      </w:r>
    </w:p>
    <w:p w:rsidR="00504FB2" w:rsidRPr="001E374E" w:rsidRDefault="00504FB2">
      <w:pPr>
        <w:rPr>
          <w:rFonts w:ascii="Times New Roman" w:hAnsi="Times New Roman" w:cs="Times New Roman"/>
          <w:bCs/>
        </w:rPr>
      </w:pPr>
      <w:r w:rsidRPr="001E374E">
        <w:rPr>
          <w:rFonts w:ascii="Times New Roman" w:hAnsi="Times New Roman" w:cs="Times New Roman"/>
          <w:bCs/>
        </w:rPr>
        <w:t xml:space="preserve">The applicants need to have taken general chemistry courses and show the ability of </w:t>
      </w:r>
      <w:r w:rsidR="001E374E" w:rsidRPr="001E374E">
        <w:rPr>
          <w:rFonts w:ascii="Times New Roman" w:hAnsi="Times New Roman" w:cs="Times New Roman"/>
          <w:bCs/>
        </w:rPr>
        <w:t>chemistry.</w:t>
      </w:r>
    </w:p>
    <w:p w:rsidR="0063449C" w:rsidRPr="001E374E" w:rsidRDefault="001E374E">
      <w:pPr>
        <w:rPr>
          <w:rFonts w:ascii="Times New Roman" w:hAnsi="Times New Roman" w:cs="Times New Roman"/>
          <w:bCs/>
        </w:rPr>
      </w:pPr>
      <w:r w:rsidRPr="001E374E">
        <w:rPr>
          <w:rFonts w:ascii="Times New Roman" w:hAnsi="Times New Roman" w:cs="Times New Roman"/>
          <w:bCs/>
        </w:rPr>
        <w:t xml:space="preserve">The followings are from CNU website </w:t>
      </w:r>
      <w:r w:rsidR="0063449C" w:rsidRPr="001E374E">
        <w:rPr>
          <w:rFonts w:ascii="Times New Roman" w:hAnsi="Times New Roman" w:cs="Times New Roman"/>
          <w:bCs/>
        </w:rPr>
        <w:t>(</w:t>
      </w:r>
      <w:hyperlink r:id="rId5" w:history="1">
        <w:r w:rsidR="0063449C" w:rsidRPr="001E374E">
          <w:rPr>
            <w:rStyle w:val="a5"/>
            <w:rFonts w:ascii="Times New Roman" w:hAnsi="Times New Roman" w:cs="Times New Roman"/>
            <w:bCs/>
          </w:rPr>
          <w:t>http://plus.cnu.ac.kr/html/en/sub03/sub03_0304.html</w:t>
        </w:r>
      </w:hyperlink>
      <w:r w:rsidR="0063449C" w:rsidRPr="001E374E">
        <w:rPr>
          <w:rFonts w:ascii="Times New Roman" w:hAnsi="Times New Roman" w:cs="Times New Roman"/>
          <w:bCs/>
        </w:rPr>
        <w:t>)</w:t>
      </w:r>
      <w:r w:rsidRPr="001E374E">
        <w:rPr>
          <w:rFonts w:ascii="Times New Roman" w:hAnsi="Times New Roman" w:cs="Times New Roman"/>
          <w:bCs/>
        </w:rPr>
        <w:t>.</w:t>
      </w:r>
    </w:p>
    <w:p w:rsidR="0063449C" w:rsidRPr="0063449C" w:rsidRDefault="0063449C" w:rsidP="0063449C">
      <w:pPr>
        <w:shd w:val="clear" w:color="auto" w:fill="FFFFFF"/>
        <w:spacing w:after="225" w:line="324" w:lineRule="atLeast"/>
        <w:outlineLvl w:val="3"/>
        <w:rPr>
          <w:rFonts w:ascii="Times New Roman" w:eastAsia="돋움" w:hAnsi="Times New Roman" w:cs="Times New Roman"/>
          <w:b/>
          <w:bCs/>
          <w:color w:val="333333"/>
          <w:sz w:val="36"/>
          <w:szCs w:val="36"/>
        </w:rPr>
      </w:pPr>
      <w:r w:rsidRPr="0063449C">
        <w:rPr>
          <w:rFonts w:ascii="Times New Roman" w:eastAsia="돋움" w:hAnsi="Times New Roman" w:cs="Times New Roman"/>
          <w:b/>
          <w:bCs/>
          <w:color w:val="333333"/>
          <w:sz w:val="36"/>
          <w:szCs w:val="36"/>
        </w:rPr>
        <w:t>Admission Schedule</w:t>
      </w:r>
    </w:p>
    <w:tbl>
      <w:tblPr>
        <w:tblW w:w="10350" w:type="dxa"/>
        <w:shd w:val="clear" w:color="auto" w:fill="FFFFFF"/>
        <w:tblCellMar>
          <w:left w:w="0" w:type="dxa"/>
          <w:right w:w="0" w:type="dxa"/>
        </w:tblCellMar>
        <w:tblLook w:val="04A0" w:firstRow="1" w:lastRow="0" w:firstColumn="1" w:lastColumn="0" w:noHBand="0" w:noVBand="1"/>
      </w:tblPr>
      <w:tblGrid>
        <w:gridCol w:w="5349"/>
        <w:gridCol w:w="2291"/>
        <w:gridCol w:w="2710"/>
      </w:tblGrid>
      <w:tr w:rsidR="0063449C" w:rsidRPr="0063449C" w:rsidTr="0063449C">
        <w:trPr>
          <w:tblHeader/>
        </w:trPr>
        <w:tc>
          <w:tcPr>
            <w:tcW w:w="0" w:type="auto"/>
            <w:tcBorders>
              <w:top w:val="single" w:sz="12" w:space="0" w:color="6B6B6B"/>
              <w:left w:val="nil"/>
              <w:bottom w:val="single" w:sz="6" w:space="0" w:color="E4E4E4"/>
              <w:right w:val="single" w:sz="6" w:space="0" w:color="E4E4E4"/>
            </w:tcBorders>
            <w:shd w:val="clear" w:color="auto" w:fill="FBFBFB"/>
            <w:tcMar>
              <w:top w:w="120" w:type="dxa"/>
              <w:left w:w="90" w:type="dxa"/>
              <w:bottom w:w="120" w:type="dxa"/>
              <w:right w:w="90" w:type="dxa"/>
            </w:tcMar>
            <w:vAlign w:val="center"/>
            <w:hideMark/>
          </w:tcPr>
          <w:p w:rsidR="0063449C" w:rsidRPr="0063449C" w:rsidRDefault="0063449C" w:rsidP="0063449C">
            <w:pPr>
              <w:spacing w:after="0" w:line="240" w:lineRule="auto"/>
              <w:jc w:val="center"/>
              <w:rPr>
                <w:rFonts w:ascii="Times New Roman" w:eastAsia="돋움" w:hAnsi="Times New Roman" w:cs="Times New Roman"/>
                <w:b/>
                <w:bCs/>
                <w:color w:val="444444"/>
                <w:sz w:val="20"/>
                <w:szCs w:val="20"/>
              </w:rPr>
            </w:pPr>
            <w:r w:rsidRPr="0063449C">
              <w:rPr>
                <w:rFonts w:ascii="Times New Roman" w:eastAsia="돋움" w:hAnsi="Times New Roman" w:cs="Times New Roman"/>
                <w:b/>
                <w:bCs/>
                <w:color w:val="444444"/>
                <w:sz w:val="20"/>
                <w:szCs w:val="20"/>
              </w:rPr>
              <w:t>Order</w:t>
            </w:r>
          </w:p>
        </w:tc>
        <w:tc>
          <w:tcPr>
            <w:tcW w:w="0" w:type="auto"/>
            <w:tcBorders>
              <w:top w:val="single" w:sz="12" w:space="0" w:color="6B6B6B"/>
              <w:left w:val="nil"/>
              <w:bottom w:val="single" w:sz="6" w:space="0" w:color="E4E4E4"/>
              <w:right w:val="single" w:sz="6" w:space="0" w:color="E4E4E4"/>
            </w:tcBorders>
            <w:shd w:val="clear" w:color="auto" w:fill="FBFBFB"/>
            <w:tcMar>
              <w:top w:w="120" w:type="dxa"/>
              <w:left w:w="90" w:type="dxa"/>
              <w:bottom w:w="120" w:type="dxa"/>
              <w:right w:w="90" w:type="dxa"/>
            </w:tcMar>
            <w:vAlign w:val="center"/>
            <w:hideMark/>
          </w:tcPr>
          <w:p w:rsidR="0063449C" w:rsidRPr="0063449C" w:rsidRDefault="0063449C" w:rsidP="0063449C">
            <w:pPr>
              <w:spacing w:after="0" w:line="240" w:lineRule="auto"/>
              <w:jc w:val="center"/>
              <w:rPr>
                <w:rFonts w:ascii="Times New Roman" w:eastAsia="돋움" w:hAnsi="Times New Roman" w:cs="Times New Roman"/>
                <w:b/>
                <w:bCs/>
                <w:color w:val="444444"/>
                <w:sz w:val="20"/>
                <w:szCs w:val="20"/>
              </w:rPr>
            </w:pPr>
            <w:r w:rsidRPr="0063449C">
              <w:rPr>
                <w:rFonts w:ascii="Times New Roman" w:eastAsia="돋움" w:hAnsi="Times New Roman" w:cs="Times New Roman"/>
                <w:b/>
                <w:bCs/>
                <w:color w:val="444444"/>
                <w:sz w:val="20"/>
                <w:szCs w:val="20"/>
              </w:rPr>
              <w:t>Fall Semester</w:t>
            </w:r>
          </w:p>
        </w:tc>
        <w:tc>
          <w:tcPr>
            <w:tcW w:w="0" w:type="auto"/>
            <w:tcBorders>
              <w:top w:val="single" w:sz="12" w:space="0" w:color="6B6B6B"/>
              <w:left w:val="nil"/>
              <w:bottom w:val="single" w:sz="6" w:space="0" w:color="E4E4E4"/>
              <w:right w:val="nil"/>
            </w:tcBorders>
            <w:shd w:val="clear" w:color="auto" w:fill="FBFBFB"/>
            <w:tcMar>
              <w:top w:w="120" w:type="dxa"/>
              <w:left w:w="90" w:type="dxa"/>
              <w:bottom w:w="120" w:type="dxa"/>
              <w:right w:w="90" w:type="dxa"/>
            </w:tcMar>
            <w:vAlign w:val="center"/>
            <w:hideMark/>
          </w:tcPr>
          <w:p w:rsidR="0063449C" w:rsidRPr="0063449C" w:rsidRDefault="0063449C" w:rsidP="0063449C">
            <w:pPr>
              <w:spacing w:after="0" w:line="240" w:lineRule="auto"/>
              <w:jc w:val="center"/>
              <w:rPr>
                <w:rFonts w:ascii="Times New Roman" w:eastAsia="돋움" w:hAnsi="Times New Roman" w:cs="Times New Roman"/>
                <w:b/>
                <w:bCs/>
                <w:color w:val="444444"/>
                <w:sz w:val="20"/>
                <w:szCs w:val="20"/>
              </w:rPr>
            </w:pPr>
            <w:r w:rsidRPr="0063449C">
              <w:rPr>
                <w:rFonts w:ascii="Times New Roman" w:eastAsia="돋움" w:hAnsi="Times New Roman" w:cs="Times New Roman"/>
                <w:b/>
                <w:bCs/>
                <w:color w:val="444444"/>
                <w:sz w:val="20"/>
                <w:szCs w:val="20"/>
              </w:rPr>
              <w:t>Spring Semester</w:t>
            </w:r>
          </w:p>
        </w:tc>
      </w:tr>
      <w:tr w:rsidR="0063449C" w:rsidRPr="0063449C" w:rsidTr="0063449C">
        <w:tc>
          <w:tcPr>
            <w:tcW w:w="0" w:type="auto"/>
            <w:tcBorders>
              <w:top w:val="nil"/>
              <w:left w:val="nil"/>
              <w:bottom w:val="single" w:sz="6" w:space="0" w:color="E4E4E4"/>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Application Deadline</w:t>
            </w:r>
          </w:p>
        </w:tc>
        <w:tc>
          <w:tcPr>
            <w:tcW w:w="0" w:type="auto"/>
            <w:tcBorders>
              <w:top w:val="nil"/>
              <w:left w:val="nil"/>
              <w:bottom w:val="single" w:sz="6" w:space="0" w:color="E4E4E4"/>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Early May</w:t>
            </w:r>
          </w:p>
        </w:tc>
        <w:tc>
          <w:tcPr>
            <w:tcW w:w="0" w:type="auto"/>
            <w:tcBorders>
              <w:top w:val="nil"/>
              <w:left w:val="nil"/>
              <w:bottom w:val="single" w:sz="6" w:space="0" w:color="E4E4E4"/>
              <w:right w:val="nil"/>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Mid October</w:t>
            </w:r>
          </w:p>
        </w:tc>
      </w:tr>
      <w:tr w:rsidR="0063449C" w:rsidRPr="0063449C" w:rsidTr="0063449C">
        <w:tc>
          <w:tcPr>
            <w:tcW w:w="0" w:type="auto"/>
            <w:tcBorders>
              <w:top w:val="nil"/>
              <w:left w:val="nil"/>
              <w:bottom w:val="single" w:sz="6" w:space="0" w:color="E4E4E4"/>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Document Screening &amp;Interview</w:t>
            </w:r>
          </w:p>
        </w:tc>
        <w:tc>
          <w:tcPr>
            <w:tcW w:w="0" w:type="auto"/>
            <w:tcBorders>
              <w:top w:val="nil"/>
              <w:left w:val="nil"/>
              <w:bottom w:val="single" w:sz="6" w:space="0" w:color="E4E4E4"/>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Early June</w:t>
            </w:r>
          </w:p>
        </w:tc>
        <w:tc>
          <w:tcPr>
            <w:tcW w:w="0" w:type="auto"/>
            <w:tcBorders>
              <w:top w:val="nil"/>
              <w:left w:val="nil"/>
              <w:bottom w:val="single" w:sz="6" w:space="0" w:color="E4E4E4"/>
              <w:right w:val="nil"/>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Early November</w:t>
            </w:r>
          </w:p>
        </w:tc>
      </w:tr>
      <w:tr w:rsidR="0063449C" w:rsidRPr="0063449C" w:rsidTr="0063449C">
        <w:tc>
          <w:tcPr>
            <w:tcW w:w="0" w:type="auto"/>
            <w:tcBorders>
              <w:top w:val="nil"/>
              <w:left w:val="nil"/>
              <w:bottom w:val="single" w:sz="6" w:space="0" w:color="E4E4E4"/>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Notification of Successful applicants</w:t>
            </w:r>
          </w:p>
        </w:tc>
        <w:tc>
          <w:tcPr>
            <w:tcW w:w="0" w:type="auto"/>
            <w:tcBorders>
              <w:top w:val="nil"/>
              <w:left w:val="nil"/>
              <w:bottom w:val="single" w:sz="6" w:space="0" w:color="E4E4E4"/>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Late June</w:t>
            </w:r>
          </w:p>
        </w:tc>
        <w:tc>
          <w:tcPr>
            <w:tcW w:w="0" w:type="auto"/>
            <w:tcBorders>
              <w:top w:val="nil"/>
              <w:left w:val="nil"/>
              <w:bottom w:val="single" w:sz="6" w:space="0" w:color="E4E4E4"/>
              <w:right w:val="nil"/>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Early December</w:t>
            </w:r>
          </w:p>
        </w:tc>
      </w:tr>
      <w:tr w:rsidR="0063449C" w:rsidRPr="0063449C" w:rsidTr="0063449C">
        <w:tc>
          <w:tcPr>
            <w:tcW w:w="0" w:type="auto"/>
            <w:tcBorders>
              <w:top w:val="nil"/>
              <w:left w:val="nil"/>
              <w:bottom w:val="single" w:sz="6" w:space="0" w:color="E4E4E4"/>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Tuition Payment</w:t>
            </w:r>
          </w:p>
        </w:tc>
        <w:tc>
          <w:tcPr>
            <w:tcW w:w="0" w:type="auto"/>
            <w:tcBorders>
              <w:top w:val="nil"/>
              <w:left w:val="nil"/>
              <w:bottom w:val="single" w:sz="6" w:space="0" w:color="E4E4E4"/>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Mid July</w:t>
            </w:r>
          </w:p>
        </w:tc>
        <w:tc>
          <w:tcPr>
            <w:tcW w:w="0" w:type="auto"/>
            <w:tcBorders>
              <w:top w:val="nil"/>
              <w:left w:val="nil"/>
              <w:bottom w:val="single" w:sz="6" w:space="0" w:color="E4E4E4"/>
              <w:right w:val="nil"/>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proofErr w:type="spellStart"/>
            <w:r w:rsidRPr="0063449C">
              <w:rPr>
                <w:rFonts w:ascii="Times New Roman" w:eastAsia="돋움" w:hAnsi="Times New Roman" w:cs="Times New Roman"/>
                <w:color w:val="464646"/>
                <w:sz w:val="20"/>
                <w:szCs w:val="20"/>
              </w:rPr>
              <w:t>Mid January</w:t>
            </w:r>
            <w:proofErr w:type="spellEnd"/>
          </w:p>
        </w:tc>
      </w:tr>
      <w:tr w:rsidR="0063449C" w:rsidRPr="0063449C" w:rsidTr="0063449C">
        <w:tc>
          <w:tcPr>
            <w:tcW w:w="0" w:type="auto"/>
            <w:tcBorders>
              <w:top w:val="nil"/>
              <w:left w:val="nil"/>
              <w:bottom w:val="single" w:sz="6" w:space="0" w:color="959595"/>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Issuance of Admission Certificate</w:t>
            </w:r>
          </w:p>
        </w:tc>
        <w:tc>
          <w:tcPr>
            <w:tcW w:w="0" w:type="auto"/>
            <w:tcBorders>
              <w:top w:val="nil"/>
              <w:left w:val="nil"/>
              <w:bottom w:val="single" w:sz="6" w:space="0" w:color="959595"/>
              <w:right w:val="single" w:sz="6" w:space="0" w:color="E4E4E4"/>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Late July</w:t>
            </w:r>
          </w:p>
        </w:tc>
        <w:tc>
          <w:tcPr>
            <w:tcW w:w="0" w:type="auto"/>
            <w:tcBorders>
              <w:top w:val="nil"/>
              <w:left w:val="nil"/>
              <w:bottom w:val="single" w:sz="6" w:space="0" w:color="959595"/>
              <w:right w:val="nil"/>
            </w:tcBorders>
            <w:shd w:val="clear" w:color="auto" w:fill="FFFFFF"/>
            <w:tcMar>
              <w:top w:w="135" w:type="dxa"/>
              <w:left w:w="90" w:type="dxa"/>
              <w:bottom w:w="135" w:type="dxa"/>
              <w:right w:w="90" w:type="dxa"/>
            </w:tcMar>
            <w:vAlign w:val="center"/>
            <w:hideMark/>
          </w:tcPr>
          <w:p w:rsidR="0063449C" w:rsidRPr="0063449C" w:rsidRDefault="0063449C" w:rsidP="0063449C">
            <w:pPr>
              <w:spacing w:after="0" w:line="300" w:lineRule="atLeast"/>
              <w:jc w:val="center"/>
              <w:rPr>
                <w:rFonts w:ascii="Times New Roman" w:eastAsia="돋움" w:hAnsi="Times New Roman" w:cs="Times New Roman"/>
                <w:color w:val="464646"/>
                <w:sz w:val="20"/>
                <w:szCs w:val="20"/>
              </w:rPr>
            </w:pPr>
            <w:r w:rsidRPr="0063449C">
              <w:rPr>
                <w:rFonts w:ascii="Times New Roman" w:eastAsia="돋움" w:hAnsi="Times New Roman" w:cs="Times New Roman"/>
                <w:color w:val="464646"/>
                <w:sz w:val="20"/>
                <w:szCs w:val="20"/>
              </w:rPr>
              <w:t>Late January</w:t>
            </w:r>
          </w:p>
        </w:tc>
      </w:tr>
    </w:tbl>
    <w:p w:rsidR="0063449C" w:rsidRPr="0063449C" w:rsidRDefault="0063449C" w:rsidP="0063449C">
      <w:pPr>
        <w:shd w:val="clear" w:color="auto" w:fill="FFFFFF"/>
        <w:spacing w:after="75" w:line="240" w:lineRule="auto"/>
        <w:rPr>
          <w:rFonts w:ascii="Times New Roman" w:eastAsia="돋움" w:hAnsi="Times New Roman" w:cs="Times New Roman"/>
          <w:color w:val="464646"/>
          <w:sz w:val="21"/>
          <w:szCs w:val="21"/>
        </w:rPr>
      </w:pPr>
      <w:r w:rsidRPr="0063449C">
        <w:rPr>
          <w:rFonts w:ascii="Times New Roman" w:eastAsia="돋움" w:hAnsi="Times New Roman" w:cs="Times New Roman"/>
          <w:color w:val="464646"/>
          <w:sz w:val="21"/>
          <w:szCs w:val="21"/>
        </w:rPr>
        <w:t>Refer the CNU website for the correct application due date.</w:t>
      </w:r>
    </w:p>
    <w:p w:rsidR="0063449C" w:rsidRPr="0063449C" w:rsidRDefault="0063449C" w:rsidP="0063449C">
      <w:pPr>
        <w:shd w:val="clear" w:color="auto" w:fill="FFFFFF"/>
        <w:spacing w:after="225" w:line="240" w:lineRule="auto"/>
        <w:rPr>
          <w:rFonts w:ascii="Times New Roman" w:eastAsia="돋움" w:hAnsi="Times New Roman" w:cs="Times New Roman"/>
          <w:color w:val="464646"/>
          <w:sz w:val="21"/>
          <w:szCs w:val="21"/>
        </w:rPr>
      </w:pPr>
      <w:r w:rsidRPr="0063449C">
        <w:rPr>
          <w:rFonts w:ascii="Times New Roman" w:eastAsia="돋움" w:hAnsi="Times New Roman" w:cs="Times New Roman"/>
          <w:color w:val="464646"/>
          <w:sz w:val="21"/>
          <w:szCs w:val="21"/>
        </w:rPr>
        <w:t>The deadlines can be moved up due to time limitation. </w:t>
      </w:r>
      <w:r w:rsidRPr="0063449C">
        <w:rPr>
          <w:rFonts w:ascii="Times New Roman" w:eastAsia="돋움" w:hAnsi="Times New Roman" w:cs="Times New Roman"/>
          <w:color w:val="464646"/>
          <w:sz w:val="21"/>
          <w:szCs w:val="21"/>
        </w:rPr>
        <w:br/>
        <w:t>If any published application deadline date falls on a Saturday or a Sunday, complete applications and all supporting documents will be accepted on the immediately following Monday.</w:t>
      </w:r>
    </w:p>
    <w:p w:rsidR="0063449C" w:rsidRPr="0063449C" w:rsidRDefault="0063449C" w:rsidP="0063449C">
      <w:pPr>
        <w:shd w:val="clear" w:color="auto" w:fill="FFFFFF"/>
        <w:spacing w:before="525" w:after="225" w:line="324" w:lineRule="atLeast"/>
        <w:outlineLvl w:val="3"/>
        <w:rPr>
          <w:rFonts w:ascii="Times New Roman" w:eastAsia="돋움" w:hAnsi="Times New Roman" w:cs="Times New Roman"/>
          <w:b/>
          <w:bCs/>
          <w:color w:val="333333"/>
          <w:sz w:val="36"/>
          <w:szCs w:val="36"/>
        </w:rPr>
      </w:pPr>
      <w:r w:rsidRPr="0063449C">
        <w:rPr>
          <w:rFonts w:ascii="Times New Roman" w:eastAsia="돋움" w:hAnsi="Times New Roman" w:cs="Times New Roman"/>
          <w:b/>
          <w:bCs/>
          <w:color w:val="333333"/>
          <w:sz w:val="36"/>
          <w:szCs w:val="36"/>
        </w:rPr>
        <w:t>Eligibility Requirements</w:t>
      </w:r>
    </w:p>
    <w:p w:rsidR="0063449C" w:rsidRPr="0063449C" w:rsidRDefault="0063449C" w:rsidP="0063449C">
      <w:pPr>
        <w:numPr>
          <w:ilvl w:val="0"/>
          <w:numId w:val="1"/>
        </w:numPr>
        <w:shd w:val="clear" w:color="auto" w:fill="FFFFFF"/>
        <w:spacing w:before="100" w:beforeAutospacing="1" w:after="100" w:afterAutospacing="1" w:line="300" w:lineRule="atLeast"/>
        <w:ind w:left="75"/>
        <w:rPr>
          <w:rFonts w:ascii="Times New Roman" w:eastAsia="돋움" w:hAnsi="Times New Roman" w:cs="Times New Roman"/>
          <w:color w:val="464646"/>
          <w:sz w:val="21"/>
          <w:szCs w:val="21"/>
        </w:rPr>
      </w:pPr>
      <w:r w:rsidRPr="0063449C">
        <w:rPr>
          <w:rFonts w:ascii="Times New Roman" w:eastAsia="돋움" w:hAnsi="Times New Roman" w:cs="Times New Roman"/>
          <w:color w:val="464646"/>
          <w:sz w:val="21"/>
          <w:szCs w:val="21"/>
        </w:rPr>
        <w:t>Master's Degree Program</w:t>
      </w:r>
    </w:p>
    <w:p w:rsidR="0063449C" w:rsidRPr="0063449C" w:rsidRDefault="0063449C" w:rsidP="0063449C">
      <w:pPr>
        <w:numPr>
          <w:ilvl w:val="1"/>
          <w:numId w:val="1"/>
        </w:numPr>
        <w:shd w:val="clear" w:color="auto" w:fill="FFFFFF"/>
        <w:spacing w:before="100" w:beforeAutospacing="1" w:after="100" w:afterAutospacing="1" w:line="270" w:lineRule="atLeast"/>
        <w:ind w:left="150"/>
        <w:rPr>
          <w:rFonts w:ascii="Times New Roman" w:eastAsia="돋움" w:hAnsi="Times New Roman" w:cs="Times New Roman"/>
          <w:color w:val="464646"/>
          <w:sz w:val="21"/>
          <w:szCs w:val="21"/>
        </w:rPr>
      </w:pPr>
      <w:r w:rsidRPr="0063449C">
        <w:rPr>
          <w:rFonts w:ascii="Times New Roman" w:eastAsia="돋움" w:hAnsi="Times New Roman" w:cs="Times New Roman"/>
          <w:color w:val="464646"/>
          <w:sz w:val="21"/>
          <w:szCs w:val="21"/>
        </w:rPr>
        <w:t>To be admitted as a graduate student, an applicant must have obtained a bachelor’s or higher degree, prior to the start of the CNU term for which the student is admitted, from an accredited college or university or the equivalent degree from a recognized international institution.</w:t>
      </w:r>
    </w:p>
    <w:p w:rsidR="0063449C" w:rsidRPr="0063449C" w:rsidRDefault="0063449C" w:rsidP="0063449C">
      <w:pPr>
        <w:numPr>
          <w:ilvl w:val="0"/>
          <w:numId w:val="1"/>
        </w:numPr>
        <w:shd w:val="clear" w:color="auto" w:fill="FFFFFF"/>
        <w:spacing w:before="100" w:beforeAutospacing="1" w:after="100" w:afterAutospacing="1" w:line="300" w:lineRule="atLeast"/>
        <w:ind w:left="75"/>
        <w:rPr>
          <w:rFonts w:ascii="Times New Roman" w:eastAsia="돋움" w:hAnsi="Times New Roman" w:cs="Times New Roman"/>
          <w:color w:val="464646"/>
          <w:sz w:val="21"/>
          <w:szCs w:val="21"/>
        </w:rPr>
      </w:pPr>
      <w:r w:rsidRPr="0063449C">
        <w:rPr>
          <w:rFonts w:ascii="Times New Roman" w:eastAsia="돋움" w:hAnsi="Times New Roman" w:cs="Times New Roman"/>
          <w:color w:val="464646"/>
          <w:sz w:val="21"/>
          <w:szCs w:val="21"/>
        </w:rPr>
        <w:t>Evaluation of Major Proficiency</w:t>
      </w:r>
    </w:p>
    <w:p w:rsidR="0063449C" w:rsidRPr="0063449C" w:rsidRDefault="0063449C" w:rsidP="0063449C">
      <w:pPr>
        <w:numPr>
          <w:ilvl w:val="1"/>
          <w:numId w:val="1"/>
        </w:numPr>
        <w:shd w:val="clear" w:color="auto" w:fill="FFFFFF"/>
        <w:spacing w:before="100" w:beforeAutospacing="1" w:after="100" w:afterAutospacing="1" w:line="270" w:lineRule="atLeast"/>
        <w:ind w:left="150"/>
        <w:rPr>
          <w:rFonts w:ascii="Times New Roman" w:eastAsia="돋움" w:hAnsi="Times New Roman" w:cs="Times New Roman"/>
          <w:color w:val="464646"/>
          <w:sz w:val="21"/>
          <w:szCs w:val="21"/>
        </w:rPr>
      </w:pPr>
      <w:r w:rsidRPr="0063449C">
        <w:rPr>
          <w:rFonts w:ascii="Times New Roman" w:eastAsia="돋움" w:hAnsi="Times New Roman" w:cs="Times New Roman"/>
          <w:color w:val="464646"/>
          <w:sz w:val="21"/>
          <w:szCs w:val="21"/>
        </w:rPr>
        <w:t>In order to pursue a master’s, doctoral or integrated master’s &amp; doctoral degree, one must apply and be admitted to the Graduate School, as well as be accepted for admission by the faculty of the particular program one wishes to pursue. The admission committee of the department that you applied will evaluate your proficiency of the major field based on the documents submitted. The additional interview may be followed if the committee decides it is needed.</w:t>
      </w:r>
    </w:p>
    <w:p w:rsidR="0063449C" w:rsidRPr="0063449C" w:rsidRDefault="0063449C" w:rsidP="0063449C">
      <w:pPr>
        <w:numPr>
          <w:ilvl w:val="0"/>
          <w:numId w:val="1"/>
        </w:numPr>
        <w:shd w:val="clear" w:color="auto" w:fill="FFFFFF"/>
        <w:spacing w:before="100" w:beforeAutospacing="1" w:after="100" w:afterAutospacing="1" w:line="300" w:lineRule="atLeast"/>
        <w:ind w:left="75"/>
        <w:rPr>
          <w:rFonts w:ascii="Times New Roman" w:eastAsia="돋움" w:hAnsi="Times New Roman" w:cs="Times New Roman"/>
          <w:color w:val="464646"/>
          <w:sz w:val="21"/>
          <w:szCs w:val="21"/>
        </w:rPr>
      </w:pPr>
      <w:r w:rsidRPr="0063449C">
        <w:rPr>
          <w:rFonts w:ascii="Times New Roman" w:eastAsia="돋움" w:hAnsi="Times New Roman" w:cs="Times New Roman"/>
          <w:color w:val="464646"/>
          <w:sz w:val="21"/>
          <w:szCs w:val="21"/>
        </w:rPr>
        <w:t>Language Requirements (One of criteria below should be meet.)</w:t>
      </w:r>
    </w:p>
    <w:p w:rsidR="0063449C" w:rsidRPr="0063449C" w:rsidRDefault="0063449C" w:rsidP="0063449C">
      <w:pPr>
        <w:numPr>
          <w:ilvl w:val="1"/>
          <w:numId w:val="1"/>
        </w:numPr>
        <w:shd w:val="clear" w:color="auto" w:fill="FFFFFF"/>
        <w:spacing w:before="100" w:beforeAutospacing="1" w:after="100" w:afterAutospacing="1" w:line="270" w:lineRule="atLeast"/>
        <w:ind w:left="150"/>
        <w:rPr>
          <w:rFonts w:ascii="Times New Roman" w:eastAsia="돋움" w:hAnsi="Times New Roman" w:cs="Times New Roman"/>
          <w:color w:val="464646"/>
          <w:sz w:val="21"/>
          <w:szCs w:val="21"/>
        </w:rPr>
      </w:pPr>
      <w:r w:rsidRPr="0063449C">
        <w:rPr>
          <w:rFonts w:ascii="Times New Roman" w:eastAsia="돋움" w:hAnsi="Times New Roman" w:cs="Times New Roman"/>
          <w:color w:val="464646"/>
          <w:sz w:val="21"/>
          <w:szCs w:val="21"/>
        </w:rPr>
        <w:t>Level 4 or higher on the Test of Proficiency in Korean (TOPIK)</w:t>
      </w:r>
    </w:p>
    <w:p w:rsidR="0063449C" w:rsidRPr="0063449C" w:rsidRDefault="0063449C" w:rsidP="009E4E78">
      <w:pPr>
        <w:numPr>
          <w:ilvl w:val="1"/>
          <w:numId w:val="1"/>
        </w:numPr>
        <w:shd w:val="clear" w:color="auto" w:fill="FFFFFF"/>
        <w:spacing w:before="100" w:beforeAutospacing="1" w:after="100" w:afterAutospacing="1" w:line="270" w:lineRule="atLeast"/>
        <w:ind w:left="150"/>
        <w:rPr>
          <w:rFonts w:ascii="Times New Roman" w:hAnsi="Times New Roman" w:cs="Times New Roman"/>
        </w:rPr>
      </w:pPr>
      <w:r w:rsidRPr="0063449C">
        <w:rPr>
          <w:rFonts w:ascii="Times New Roman" w:eastAsia="돋움" w:hAnsi="Times New Roman" w:cs="Times New Roman"/>
          <w:color w:val="464646"/>
          <w:sz w:val="21"/>
          <w:szCs w:val="21"/>
        </w:rPr>
        <w:t>Minimum score of 530 (paper-based), 197 (computer-based), 71 (internet-based) on the Test of English as a Foreign Language (TOEFL)</w:t>
      </w:r>
    </w:p>
    <w:sectPr w:rsidR="0063449C" w:rsidRPr="0063449C">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03D41"/>
    <w:multiLevelType w:val="multilevel"/>
    <w:tmpl w:val="6E842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9C"/>
    <w:rsid w:val="001E374E"/>
    <w:rsid w:val="00504FB2"/>
    <w:rsid w:val="0063449C"/>
    <w:rsid w:val="00D12E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DAC49-06C8-4EE9-A43D-05E5ABE1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6344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3449C"/>
    <w:rPr>
      <w:i/>
      <w:iCs/>
    </w:rPr>
  </w:style>
  <w:style w:type="character" w:customStyle="1" w:styleId="4Char">
    <w:name w:val="제목 4 Char"/>
    <w:basedOn w:val="a0"/>
    <w:link w:val="4"/>
    <w:uiPriority w:val="9"/>
    <w:rsid w:val="0063449C"/>
    <w:rPr>
      <w:rFonts w:ascii="Times New Roman" w:eastAsia="Times New Roman" w:hAnsi="Times New Roman" w:cs="Times New Roman"/>
      <w:b/>
      <w:bCs/>
      <w:sz w:val="24"/>
      <w:szCs w:val="24"/>
    </w:rPr>
  </w:style>
  <w:style w:type="paragraph" w:customStyle="1" w:styleId="tipp2">
    <w:name w:val="tip_p2"/>
    <w:basedOn w:val="a"/>
    <w:rsid w:val="006344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6344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34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plus.cnu.ac.kr/html/en/sub03/sub03_0304.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09F704F33694880C6B632F8B2C136" ma:contentTypeVersion="0" ma:contentTypeDescription="Create a new document." ma:contentTypeScope="" ma:versionID="8d101b8275fc421063fda84fefa30f2a">
  <xsd:schema xmlns:xsd="http://www.w3.org/2001/XMLSchema" xmlns:xs="http://www.w3.org/2001/XMLSchema" xmlns:p="http://schemas.microsoft.com/office/2006/metadata/properties" xmlns:ns2="745c6a35-0ff9-4554-8934-39582115c5d2" targetNamespace="http://schemas.microsoft.com/office/2006/metadata/properties" ma:root="true" ma:fieldsID="96e88e0d5d81770ae743539092ba13a5" ns2:_="">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45c6a35-0ff9-4554-8934-39582115c5d2">YSMEJ3KJCCNT-261-337</_dlc_DocId>
    <_dlc_DocIdUrl xmlns="745c6a35-0ff9-4554-8934-39582115c5d2">
      <Url>http://www.hup.edu.vn/cpbdv/phtqt/noidung/_layouts/DocIdRedir.aspx?ID=YSMEJ3KJCCNT-261-337</Url>
      <Description>YSMEJ3KJCCNT-261-337</Description>
    </_dlc_DocIdUrl>
  </documentManagement>
</p:properties>
</file>

<file path=customXml/itemProps1.xml><?xml version="1.0" encoding="utf-8"?>
<ds:datastoreItem xmlns:ds="http://schemas.openxmlformats.org/officeDocument/2006/customXml" ds:itemID="{F439D938-1CB7-426D-8DB8-E5CA6266DFD9}"/>
</file>

<file path=customXml/itemProps2.xml><?xml version="1.0" encoding="utf-8"?>
<ds:datastoreItem xmlns:ds="http://schemas.openxmlformats.org/officeDocument/2006/customXml" ds:itemID="{723983AD-4ED4-499C-BDB0-F5363C26A32B}"/>
</file>

<file path=customXml/itemProps3.xml><?xml version="1.0" encoding="utf-8"?>
<ds:datastoreItem xmlns:ds="http://schemas.openxmlformats.org/officeDocument/2006/customXml" ds:itemID="{60444413-0FC2-494B-826D-2DE385A59FF6}"/>
</file>

<file path=customXml/itemProps4.xml><?xml version="1.0" encoding="utf-8"?>
<ds:datastoreItem xmlns:ds="http://schemas.openxmlformats.org/officeDocument/2006/customXml" ds:itemID="{4A6FEE4D-102C-457E-BCA9-00B256C60B0C}"/>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1711</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2017-12-21T04:31:00Z</dcterms:created>
  <dcterms:modified xsi:type="dcterms:W3CDTF">2017-12-21T04:43:00Z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0x010100EAD09F704F33694880C6B632F8B2C136</vt:lpwstr>
  </property>
  <property fmtid="{D5CDD505-2E9C-101B-9397-08002B2CF9AE}" pid="3" name="_dlc_DocIdItemGuid">
    <vt:lpwstr>10cd30c0-0967-4ff3-8449-ba5f288321d1</vt:lpwstr>
  </property>
</Properties>
</file>